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_rels/document.xml.rels" ContentType="application/vnd.openxmlformats-package.relationships+xml"/>
  <Override PartName="/word/footer6.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bidi w:val="0"/>
        <w:jc w:val="center"/>
        <w:rPr>
          <w:color w:val="000000"/>
        </w:rPr>
      </w:pPr>
      <w:r>
        <w:rPr>
          <w:rFonts w:ascii="Times New Roman" w:hAnsi="Times New Roman"/>
          <w:b/>
          <w:bCs/>
          <w:color w:val="000000"/>
          <w:sz w:val="32"/>
          <w:szCs w:val="32"/>
        </w:rPr>
        <w:t>Fourniture de gaz, location et maintenance d’installations associées au profit de l’Unité Nationale de Police Judiciaire de la Gendarmerie Nationale (UNPJ-GN) à Cergy-Pontoise</w:t>
      </w:r>
    </w:p>
    <w:p>
      <w:pPr>
        <w:pStyle w:val="BodyText"/>
        <w:bidi w:val="0"/>
        <w:jc w:val="center"/>
        <w:rPr>
          <w:rFonts w:ascii="Times New Roman" w:hAnsi="Times New Roman"/>
          <w:b/>
          <w:bCs/>
          <w:color w:val="000000"/>
          <w:sz w:val="32"/>
          <w:szCs w:val="32"/>
        </w:rPr>
      </w:pPr>
      <w:r>
        <w:rPr>
          <w:rFonts w:ascii="Times New Roman" w:hAnsi="Times New Roman"/>
          <w:b/>
          <w:bCs/>
          <w:color w:val="000000"/>
          <w:sz w:val="32"/>
          <w:szCs w:val="32"/>
        </w:rPr>
      </w:r>
    </w:p>
    <w:p>
      <w:pPr>
        <w:pStyle w:val="BodyText"/>
        <w:bidi w:val="0"/>
        <w:jc w:val="center"/>
        <w:rPr>
          <w:rFonts w:ascii="Times New Roman" w:hAnsi="Times New Roman"/>
          <w:b/>
          <w:bCs/>
          <w:sz w:val="32"/>
          <w:szCs w:val="32"/>
        </w:rPr>
      </w:pPr>
      <w:r>
        <w:rPr>
          <w:rFonts w:ascii="Times New Roman" w:hAnsi="Times New Roman"/>
          <w:b/>
          <w:bCs/>
          <w:sz w:val="32"/>
          <w:szCs w:val="32"/>
        </w:rPr>
      </w:r>
    </w:p>
    <w:p>
      <w:pPr>
        <w:pStyle w:val="BodyText"/>
        <w:bidi w:val="0"/>
        <w:jc w:val="center"/>
        <w:rPr>
          <w:rFonts w:ascii="Times New Roman" w:hAnsi="Times New Roman"/>
          <w:b/>
          <w:bCs/>
          <w:sz w:val="32"/>
          <w:szCs w:val="32"/>
        </w:rPr>
      </w:pPr>
      <w:r>
        <w:rPr>
          <w:rFonts w:ascii="Times New Roman" w:hAnsi="Times New Roman"/>
          <w:b/>
          <w:bCs/>
          <w:sz w:val="32"/>
          <w:szCs w:val="32"/>
        </w:rPr>
      </w:r>
    </w:p>
    <w:p>
      <w:pPr>
        <w:pStyle w:val="BodyText"/>
        <w:bidi w:val="0"/>
        <w:jc w:val="center"/>
        <w:rPr>
          <w:rFonts w:ascii="Times New Roman" w:hAnsi="Times New Roman"/>
          <w:b/>
          <w:bCs/>
          <w:sz w:val="32"/>
          <w:szCs w:val="32"/>
        </w:rPr>
      </w:pPr>
      <w:r>
        <w:rPr>
          <w:rFonts w:ascii="Times New Roman" w:hAnsi="Times New Roman"/>
          <w:b/>
          <w:bCs/>
          <w:sz w:val="32"/>
          <w:szCs w:val="32"/>
        </w:rPr>
      </w:r>
    </w:p>
    <w:p>
      <w:pPr>
        <w:pStyle w:val="BodyText"/>
        <w:bidi w:val="0"/>
        <w:jc w:val="center"/>
        <w:rPr>
          <w:rFonts w:ascii="Times New Roman" w:hAnsi="Times New Roman"/>
          <w:b/>
          <w:bCs/>
          <w:sz w:val="32"/>
          <w:szCs w:val="32"/>
        </w:rPr>
      </w:pPr>
      <w:r>
        <w:rPr>
          <w:rFonts w:ascii="Times New Roman" w:hAnsi="Times New Roman"/>
          <w:b/>
          <w:bCs/>
          <w:sz w:val="32"/>
          <w:szCs w:val="32"/>
        </w:rPr>
      </w:r>
    </w:p>
    <w:p>
      <w:pPr>
        <w:pStyle w:val="BodyText"/>
        <w:bidi w:val="0"/>
        <w:jc w:val="center"/>
        <w:rPr>
          <w:rFonts w:ascii="Times New Roman" w:hAnsi="Times New Roman"/>
          <w:b/>
          <w:bCs/>
          <w:sz w:val="32"/>
          <w:szCs w:val="32"/>
        </w:rPr>
      </w:pPr>
      <w:r>
        <w:rPr>
          <w:rFonts w:ascii="Times New Roman" w:hAnsi="Times New Roman"/>
          <w:b/>
          <w:bCs/>
          <w:sz w:val="32"/>
          <w:szCs w:val="32"/>
        </w:rPr>
        <w:t>Cadre de réponse technique</w:t>
      </w:r>
    </w:p>
    <w:p>
      <w:pPr>
        <w:pStyle w:val="BodyText"/>
        <w:bidi w:val="0"/>
        <w:jc w:val="center"/>
        <w:rPr>
          <w:rFonts w:ascii="Times New Roman" w:hAnsi="Times New Roman"/>
          <w:b/>
          <w:bCs/>
          <w:sz w:val="32"/>
          <w:szCs w:val="32"/>
        </w:rPr>
      </w:pPr>
      <w:r>
        <w:rPr>
          <w:rFonts w:ascii="Times New Roman" w:hAnsi="Times New Roman"/>
          <w:b/>
          <w:bCs/>
          <w:sz w:val="32"/>
          <w:szCs w:val="32"/>
        </w:rPr>
        <w:t xml:space="preserve">du lot n°3 – Installation, location et maintenance de deux générateurs d’hydrogène </w:t>
      </w:r>
    </w:p>
    <w:p>
      <w:pPr>
        <w:pStyle w:val="BodyText"/>
        <w:bidi w:val="0"/>
        <w:jc w:val="left"/>
        <w:rPr/>
      </w:pPr>
      <w:r>
        <w:rPr/>
      </w:r>
    </w:p>
    <w:p>
      <w:pPr>
        <w:pStyle w:val="BodyText"/>
        <w:bidi w:val="0"/>
        <w:jc w:val="left"/>
        <w:rPr/>
      </w:pPr>
      <w:r>
        <w:rPr/>
      </w:r>
    </w:p>
    <w:p>
      <w:pPr>
        <w:pStyle w:val="BodyText"/>
        <w:bidi w:val="0"/>
        <w:jc w:val="left"/>
        <w:rPr/>
      </w:pPr>
      <w:r>
        <w:rPr/>
      </w:r>
    </w:p>
    <w:p>
      <w:pPr>
        <w:pStyle w:val="BodyText"/>
        <w:bidi w:val="0"/>
        <w:jc w:val="left"/>
        <w:rPr/>
      </w:pPr>
      <w:r>
        <w:rPr/>
      </w:r>
    </w:p>
    <w:p>
      <w:pPr>
        <w:pStyle w:val="BodyText"/>
        <w:bidi w:val="0"/>
        <w:jc w:val="left"/>
        <w:rPr/>
      </w:pPr>
      <w:r>
        <w:rPr/>
      </w:r>
    </w:p>
    <w:tbl>
      <w:tblPr>
        <w:tblW w:w="9638" w:type="dxa"/>
        <w:jc w:val="left"/>
        <w:tblInd w:w="0" w:type="dxa"/>
        <w:tblLayout w:type="fixed"/>
        <w:tblCellMar>
          <w:top w:w="28" w:type="dxa"/>
          <w:left w:w="28" w:type="dxa"/>
          <w:bottom w:w="28" w:type="dxa"/>
          <w:right w:w="28" w:type="dxa"/>
        </w:tblCellMar>
      </w:tblPr>
      <w:tblGrid>
        <w:gridCol w:w="9638"/>
      </w:tblGrid>
      <w:tr>
        <w:trPr/>
        <w:tc>
          <w:tcPr>
            <w:tcW w:w="9638" w:type="dxa"/>
            <w:tcBorders>
              <w:top w:val="single" w:sz="2" w:space="0" w:color="000000"/>
              <w:left w:val="single" w:sz="2" w:space="0" w:color="000000"/>
              <w:bottom w:val="single" w:sz="2" w:space="0" w:color="000000"/>
              <w:right w:val="single" w:sz="2" w:space="0" w:color="000000"/>
            </w:tcBorders>
          </w:tcPr>
          <w:p>
            <w:pPr>
              <w:pStyle w:val="BodyText"/>
              <w:widowControl w:val="false"/>
              <w:bidi w:val="0"/>
              <w:ind w:hanging="0" w:left="113" w:right="113"/>
              <w:jc w:val="left"/>
              <w:rPr>
                <w:color w:val="FF0000"/>
              </w:rPr>
            </w:pPr>
            <w:r>
              <w:rPr>
                <w:color w:val="FF0000"/>
                <w:u w:val="single"/>
              </w:rPr>
              <w:t>Consignes de remplissage :</w:t>
            </w:r>
          </w:p>
          <w:p>
            <w:pPr>
              <w:pStyle w:val="Normal"/>
              <w:widowControl w:val="false"/>
              <w:bidi w:val="0"/>
              <w:ind w:hanging="0" w:left="113" w:right="113"/>
              <w:jc w:val="both"/>
              <w:rPr/>
            </w:pPr>
            <w:r>
              <w:rPr>
                <w:rFonts w:ascii="Times New Roman" w:hAnsi="Times New Roman"/>
                <w:sz w:val="22"/>
                <w:szCs w:val="22"/>
              </w:rPr>
              <w:t>Ce cadre de réponse technique a pour objectif de permettre la notation des critères de jugement n°2 et 3 (sur 50 points) du lot n°3 mentionnés à l’article</w:t>
            </w:r>
            <w:r>
              <w:rPr>
                <w:rFonts w:ascii="Times New Roman" w:hAnsi="Times New Roman"/>
                <w:color w:val="00A933"/>
                <w:sz w:val="22"/>
                <w:szCs w:val="22"/>
              </w:rPr>
              <w:t xml:space="preserve"> </w:t>
            </w:r>
            <w:r>
              <w:rPr>
                <w:rFonts w:ascii="Times New Roman" w:hAnsi="Times New Roman"/>
                <w:color w:val="000000"/>
                <w:sz w:val="22"/>
                <w:szCs w:val="22"/>
              </w:rPr>
              <w:t>15.3</w:t>
            </w:r>
            <w:r>
              <w:rPr>
                <w:rFonts w:ascii="Times New Roman" w:hAnsi="Times New Roman"/>
                <w:sz w:val="22"/>
                <w:szCs w:val="22"/>
              </w:rPr>
              <w:t xml:space="preserve"> du règlement de consultation.</w:t>
            </w:r>
          </w:p>
          <w:p>
            <w:pPr>
              <w:pStyle w:val="Normal"/>
              <w:widowControl w:val="false"/>
              <w:bidi w:val="0"/>
              <w:ind w:hanging="0" w:left="113" w:right="113"/>
              <w:jc w:val="both"/>
              <w:rPr>
                <w:rFonts w:ascii="Times New Roman" w:hAnsi="Times New Roman"/>
                <w:sz w:val="22"/>
                <w:szCs w:val="22"/>
              </w:rPr>
            </w:pPr>
            <w:r>
              <w:rPr>
                <w:rFonts w:ascii="Times New Roman" w:hAnsi="Times New Roman"/>
                <w:sz w:val="22"/>
                <w:szCs w:val="22"/>
              </w:rPr>
              <w:t>Il est donc nécessaire d’apporter une attention toute particulière à son remplissage.</w:t>
            </w:r>
          </w:p>
          <w:p>
            <w:pPr>
              <w:pStyle w:val="Normal"/>
              <w:widowControl w:val="false"/>
              <w:bidi w:val="0"/>
              <w:ind w:hanging="0" w:left="113" w:right="113"/>
              <w:jc w:val="both"/>
              <w:rPr>
                <w:rFonts w:ascii="Times New Roman" w:hAnsi="Times New Roman"/>
                <w:sz w:val="22"/>
                <w:szCs w:val="22"/>
              </w:rPr>
            </w:pPr>
            <w:r>
              <w:rPr>
                <w:rFonts w:ascii="Times New Roman" w:hAnsi="Times New Roman"/>
                <w:sz w:val="22"/>
                <w:szCs w:val="22"/>
              </w:rPr>
              <w:t>Le candidat devra indiquer sa réponse dans les cadres prévus à cet effet (la taille des cadres est modulable).</w:t>
            </w:r>
          </w:p>
          <w:p>
            <w:pPr>
              <w:pStyle w:val="Normal"/>
              <w:widowControl w:val="false"/>
              <w:bidi w:val="0"/>
              <w:ind w:hanging="0" w:left="113" w:right="113"/>
              <w:jc w:val="both"/>
              <w:rPr>
                <w:rFonts w:ascii="Times New Roman" w:hAnsi="Times New Roman"/>
                <w:sz w:val="22"/>
                <w:szCs w:val="22"/>
              </w:rPr>
            </w:pPr>
            <w:r>
              <w:rPr>
                <w:rFonts w:ascii="Times New Roman" w:hAnsi="Times New Roman"/>
                <w:sz w:val="22"/>
                <w:szCs w:val="22"/>
              </w:rPr>
              <w:t xml:space="preserve">Toutefois, </w:t>
            </w:r>
            <w:r>
              <w:rPr>
                <w:rFonts w:ascii="Times New Roman" w:hAnsi="Times New Roman"/>
                <w:sz w:val="22"/>
                <w:szCs w:val="22"/>
                <w:u w:val="single"/>
              </w:rPr>
              <w:t>le nombre total de pages du cadre de réponse technique ne devra pas</w:t>
            </w:r>
            <w:r>
              <w:rPr>
                <w:rFonts w:ascii="Times New Roman" w:hAnsi="Times New Roman"/>
                <w:sz w:val="22"/>
                <w:szCs w:val="22"/>
                <w:u w:val="single"/>
                <w:shd w:fill="auto" w:val="clear"/>
              </w:rPr>
              <w:t xml:space="preserve"> excéder</w:t>
            </w:r>
            <w:r>
              <w:rPr>
                <w:rFonts w:ascii="Times New Roman" w:hAnsi="Times New Roman"/>
                <w:b w:val="false"/>
                <w:bCs w:val="false"/>
                <w:color w:val="000000"/>
                <w:sz w:val="22"/>
                <w:szCs w:val="22"/>
                <w:u w:val="single"/>
                <w:shd w:fill="auto" w:val="clear"/>
              </w:rPr>
              <w:t xml:space="preserve"> 40 </w:t>
            </w:r>
            <w:r>
              <w:rPr>
                <w:rFonts w:ascii="Times New Roman" w:hAnsi="Times New Roman"/>
                <w:sz w:val="22"/>
                <w:szCs w:val="22"/>
                <w:u w:val="single"/>
                <w:shd w:fill="auto" w:val="clear"/>
              </w:rPr>
              <w:t>pages</w:t>
            </w:r>
            <w:r>
              <w:rPr>
                <w:rFonts w:ascii="Times New Roman" w:hAnsi="Times New Roman"/>
                <w:sz w:val="22"/>
                <w:szCs w:val="22"/>
              </w:rPr>
              <w:t xml:space="preserve"> (y compris annexes, hors page de garde et sommaire). Toute page au-delà de cette limite ne sera pas prise en compte dans la notation.</w:t>
            </w:r>
          </w:p>
          <w:p>
            <w:pPr>
              <w:pStyle w:val="Normal"/>
              <w:widowControl w:val="false"/>
              <w:bidi w:val="0"/>
              <w:ind w:hanging="0" w:left="113" w:right="113"/>
              <w:jc w:val="both"/>
              <w:rPr>
                <w:color w:val="auto"/>
              </w:rPr>
            </w:pPr>
            <w:r>
              <w:rPr>
                <w:rFonts w:ascii="Times New Roman" w:hAnsi="Times New Roman"/>
                <w:b w:val="false"/>
                <w:bCs w:val="false"/>
                <w:color w:val="auto"/>
                <w:sz w:val="22"/>
                <w:szCs w:val="22"/>
              </w:rPr>
              <w:t>Tout document complémentaire à ce cadre de réponse technique  ne sera pas étudié.</w:t>
            </w:r>
          </w:p>
          <w:p>
            <w:pPr>
              <w:pStyle w:val="Normal"/>
              <w:widowControl w:val="false"/>
              <w:bidi w:val="0"/>
              <w:ind w:hanging="0" w:left="113" w:right="113"/>
              <w:jc w:val="both"/>
              <w:rPr/>
            </w:pPr>
            <w:r>
              <w:rPr>
                <w:rFonts w:ascii="Times New Roman" w:hAnsi="Times New Roman"/>
                <w:b w:val="false"/>
                <w:bCs w:val="false"/>
                <w:i w:val="false"/>
                <w:iCs w:val="false"/>
                <w:color w:val="auto"/>
                <w:sz w:val="22"/>
                <w:szCs w:val="22"/>
                <w:u w:val="single"/>
              </w:rPr>
              <w:t>Les rubriques et la police affectées à ce document ne doivent en aucun cas être modifiées pour préserver l’égalité de traitement des candidats.</w:t>
            </w:r>
          </w:p>
          <w:p>
            <w:pPr>
              <w:pStyle w:val="Normal"/>
              <w:widowControl w:val="false"/>
              <w:bidi w:val="0"/>
              <w:ind w:hanging="0" w:left="113" w:right="113"/>
              <w:jc w:val="both"/>
              <w:rPr>
                <w:rFonts w:ascii="Times New Roman" w:hAnsi="Times New Roman"/>
                <w:b w:val="false"/>
                <w:bCs w:val="false"/>
                <w:i w:val="false"/>
                <w:i w:val="false"/>
                <w:iCs w:val="false"/>
                <w:color w:val="auto"/>
                <w:sz w:val="22"/>
                <w:szCs w:val="22"/>
                <w:u w:val="single"/>
              </w:rPr>
            </w:pPr>
            <w:r>
              <w:rPr>
                <w:rFonts w:ascii="Times New Roman" w:hAnsi="Times New Roman"/>
                <w:b w:val="false"/>
                <w:bCs w:val="false"/>
                <w:i w:val="false"/>
                <w:iCs w:val="false"/>
                <w:color w:val="auto"/>
                <w:sz w:val="22"/>
                <w:szCs w:val="22"/>
                <w:u w:val="single"/>
              </w:rPr>
            </w:r>
          </w:p>
        </w:tc>
      </w:tr>
    </w:tbl>
    <w:p>
      <w:pPr>
        <w:sectPr>
          <w:footerReference w:type="even" r:id="rId2"/>
          <w:footerReference w:type="default" r:id="rId3"/>
          <w:footerReference w:type="first" r:id="rId4"/>
          <w:type w:val="nextPage"/>
          <w:pgSz w:w="11906" w:h="16838"/>
          <w:pgMar w:left="1134" w:right="1134" w:gutter="0" w:header="0" w:top="1134" w:footer="1191" w:bottom="1444"/>
          <w:pgNumType w:fmt="none"/>
          <w:formProt w:val="false"/>
          <w:textDirection w:val="lrTb"/>
          <w:docGrid w:type="default" w:linePitch="100" w:charSpace="0"/>
        </w:sectPr>
      </w:pPr>
    </w:p>
    <w:p>
      <w:pPr>
        <w:pStyle w:val="Normal"/>
        <w:widowControl w:val="false"/>
        <w:bidi w:val="0"/>
        <w:spacing w:before="0" w:after="283"/>
        <w:jc w:val="center"/>
        <w:rPr>
          <w:highlight w:val="none"/>
          <w:shd w:fill="DDDDDD" w:val="clear"/>
        </w:rPr>
      </w:pPr>
      <w:r>
        <w:rPr>
          <w:rFonts w:ascii="Times New Roman" w:hAnsi="Times New Roman"/>
          <w:b/>
          <w:bCs/>
          <w:sz w:val="22"/>
          <w:szCs w:val="22"/>
          <w:shd w:fill="DDDDDD" w:val="clear"/>
        </w:rPr>
        <w:t xml:space="preserve">Évaluation Technique du </w:t>
      </w:r>
      <w:r>
        <w:rPr>
          <w:rFonts w:ascii="Times New Roman" w:hAnsi="Times New Roman"/>
          <w:b/>
          <w:bCs/>
          <w:color w:val="000000"/>
          <w:sz w:val="22"/>
          <w:szCs w:val="22"/>
          <w:shd w:fill="DDDDDD" w:val="clear"/>
        </w:rPr>
        <w:t>candidat</w:t>
      </w:r>
    </w:p>
    <w:p>
      <w:pPr>
        <w:pStyle w:val="Normal"/>
        <w:widowControl w:val="false"/>
        <w:bidi w:val="0"/>
        <w:spacing w:lineRule="auto" w:line="240"/>
        <w:ind w:hanging="0" w:left="0" w:right="170"/>
        <w:jc w:val="both"/>
        <w:rPr>
          <w:rFonts w:ascii="Times New Roman" w:hAnsi="Times New Roman"/>
        </w:rPr>
      </w:pPr>
      <w:r>
        <w:rPr>
          <w:rFonts w:ascii="Times New Roman" w:hAnsi="Times New Roman"/>
          <w:b/>
          <w:bCs/>
          <w:sz w:val="22"/>
          <w:szCs w:val="22"/>
        </w:rPr>
        <w:t xml:space="preserve">Critère 2 : Qualités techniques des générateurs d’hydrogène : 30 points </w:t>
      </w:r>
    </w:p>
    <w:p>
      <w:pPr>
        <w:pStyle w:val="Normal"/>
        <w:widowControl w:val="false"/>
        <w:bidi w:val="0"/>
        <w:spacing w:lineRule="auto" w:line="240"/>
        <w:ind w:hanging="0" w:left="0" w:right="170"/>
        <w:jc w:val="both"/>
        <w:rPr>
          <w:rFonts w:ascii="Times New Roman" w:hAnsi="Times New Roman"/>
        </w:rPr>
      </w:pPr>
      <w:r>
        <w:rPr>
          <w:rFonts w:ascii="Times New Roman" w:hAnsi="Times New Roman"/>
        </w:rPr>
      </w:r>
    </w:p>
    <w:p>
      <w:pPr>
        <w:pStyle w:val="Normal"/>
        <w:spacing w:before="0" w:after="103"/>
        <w:jc w:val="both"/>
        <w:rPr/>
      </w:pPr>
      <w:r>
        <w:rPr>
          <w:rStyle w:val="Policepardfaut"/>
          <w:rFonts w:cs="Arial" w:ascii="Times New Roman" w:hAnsi="Times New Roman"/>
          <w:b/>
          <w:bCs/>
          <w:sz w:val="20"/>
          <w:szCs w:val="20"/>
        </w:rPr>
        <w:t>SC1. Garanties apportées en termes de performances techniques des générateurs</w:t>
      </w:r>
      <w:r>
        <w:rPr>
          <w:rStyle w:val="Policepardfaut"/>
          <w:rFonts w:cs="Arial" w:ascii="Times New Roman" w:hAnsi="Times New Roman"/>
          <w:b/>
          <w:bCs/>
          <w:color w:val="000000"/>
          <w:sz w:val="20"/>
          <w:szCs w:val="20"/>
        </w:rPr>
        <w:t xml:space="preserve"> sur 10 points.</w:t>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 w:val="false"/>
          <w:bCs w:val="false"/>
          <w:sz w:val="20"/>
          <w:szCs w:val="20"/>
          <w:lang w:eastAsia="en-US"/>
        </w:rPr>
        <w:t xml:space="preserve">Le soumissionnaire </w:t>
      </w:r>
      <w:r>
        <w:rPr>
          <w:rFonts w:eastAsia="Calibri" w:cs="Arial" w:ascii="Times New Roman" w:hAnsi="Times New Roman"/>
          <w:b w:val="false"/>
          <w:bCs w:val="false"/>
          <w:sz w:val="20"/>
          <w:szCs w:val="20"/>
          <w:u w:val="none"/>
          <w:lang w:eastAsia="en-US"/>
        </w:rPr>
        <w:t xml:space="preserve">devra décrire </w:t>
      </w:r>
      <w:r>
        <w:rPr>
          <w:rFonts w:eastAsia="Calibri" w:cs="Arial" w:ascii="Times New Roman" w:hAnsi="Times New Roman"/>
          <w:b w:val="false"/>
          <w:bCs w:val="false"/>
          <w:sz w:val="20"/>
          <w:szCs w:val="20"/>
          <w:lang w:eastAsia="en-US"/>
        </w:rPr>
        <w:t xml:space="preserve">les éléments suivants : </w:t>
        <w:br/>
        <w:t>- L</w:t>
      </w:r>
      <w:r>
        <w:rPr>
          <w:rStyle w:val="Policepardfaut"/>
          <w:rFonts w:eastAsia="Calibri" w:cs="Arial" w:ascii="Times New Roman" w:hAnsi="Times New Roman"/>
          <w:b w:val="false"/>
          <w:bCs w:val="false"/>
          <w:i w:val="false"/>
          <w:iCs w:val="false"/>
          <w:sz w:val="20"/>
          <w:szCs w:val="20"/>
          <w:lang w:eastAsia="en-US"/>
        </w:rPr>
        <w:t xml:space="preserve">es performances techniques des deux générateurs ; </w:t>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 w:val="false"/>
          <w:bCs w:val="false"/>
          <w:sz w:val="20"/>
          <w:szCs w:val="20"/>
          <w:lang w:eastAsia="en-US"/>
        </w:rPr>
        <w:t xml:space="preserve">- Les </w:t>
      </w:r>
      <w:r>
        <w:rPr>
          <w:rFonts w:eastAsia="Calibri" w:cs="Arial" w:ascii="Times New Roman" w:hAnsi="Times New Roman"/>
          <w:b w:val="false"/>
          <w:bCs w:val="false"/>
          <w:i w:val="false"/>
          <w:iCs w:val="false"/>
          <w:strike w:val="false"/>
          <w:dstrike w:val="false"/>
          <w:sz w:val="20"/>
          <w:szCs w:val="20"/>
          <w:lang w:eastAsia="en-US"/>
        </w:rPr>
        <w:t>fiches techniques constructeur ;</w:t>
      </w:r>
      <w:r>
        <w:rPr>
          <w:rFonts w:eastAsia="Calibri" w:cs="Arial" w:ascii="Times New Roman" w:hAnsi="Times New Roman"/>
          <w:b w:val="false"/>
          <w:bCs w:val="false"/>
          <w:strike/>
          <w:sz w:val="20"/>
          <w:szCs w:val="20"/>
          <w:lang w:eastAsia="en-US"/>
        </w:rPr>
        <w:br/>
      </w:r>
      <w:r>
        <w:rPr>
          <w:rFonts w:eastAsia="Calibri" w:cs="Arial" w:ascii="Times New Roman" w:hAnsi="Times New Roman"/>
          <w:b w:val="false"/>
          <w:bCs w:val="false"/>
          <w:sz w:val="20"/>
          <w:szCs w:val="20"/>
          <w:lang w:eastAsia="en-US"/>
        </w:rPr>
        <w:t>- Les certificats de pureté de l’hydrogène produit ;</w:t>
        <w:br/>
        <w:t>- Les schémas techniques (pression, débit, connexions de type 1/8” Swagelok ou équivalent) ;</w:t>
        <w:br/>
        <w:t>- Le système de sécurité (détection d’humidité, fuite, surpression) ;</w:t>
        <w:br/>
        <w:t>- L’auto-diagnostic ;</w:t>
        <w:br/>
        <w:t>- Les c</w:t>
      </w:r>
      <w:r>
        <w:rPr>
          <w:rFonts w:eastAsia="Calibri" w:cs="Arial" w:ascii="Times New Roman" w:hAnsi="Times New Roman"/>
          <w:b w:val="false"/>
          <w:bCs w:val="false"/>
          <w:sz w:val="20"/>
          <w:szCs w:val="20"/>
          <w:u w:val="none"/>
          <w:lang w:eastAsia="en-US"/>
        </w:rPr>
        <w:t xml:space="preserve">ertificats de conformité CE / ISO </w:t>
      </w:r>
      <w:r>
        <w:rPr>
          <w:rFonts w:eastAsia="Calibri" w:cs="Arial" w:ascii="Times New Roman" w:hAnsi="Times New Roman"/>
          <w:b w:val="false"/>
          <w:bCs w:val="false"/>
          <w:sz w:val="20"/>
          <w:szCs w:val="20"/>
          <w:lang w:eastAsia="en-US"/>
        </w:rPr>
        <w:t>/ sécurité électrique ;</w:t>
        <w:br/>
        <w:t>- Les notices d’utilisation et d’installation.</w:t>
      </w:r>
    </w:p>
    <w:p>
      <w:pPr>
        <w:pStyle w:val="Normal"/>
        <w:spacing w:before="0" w:after="103"/>
        <w:jc w:val="both"/>
        <w:rPr>
          <w:rStyle w:val="Policepardfaut"/>
          <w:rFonts w:ascii="Times New Roman" w:hAnsi="Times New Roman" w:cs="Arial"/>
          <w:b/>
          <w:bCs/>
          <w:color w:val="000000"/>
          <w:sz w:val="12"/>
          <w:szCs w:val="12"/>
          <w:u w:val="none"/>
        </w:rPr>
      </w:pPr>
      <w:r>
        <w:rPr>
          <w:rFonts w:cs="Arial" w:ascii="Times New Roman" w:hAnsi="Times New Roman"/>
          <w:b/>
          <w:bCs/>
          <w:color w:val="000000"/>
          <w:sz w:val="12"/>
          <w:szCs w:val="12"/>
          <w:u w:val="none"/>
        </w:rPr>
      </w:r>
    </w:p>
    <w:tbl>
      <w:tblPr>
        <w:tblW w:w="5000" w:type="pct"/>
        <w:jc w:val="left"/>
        <w:tblInd w:w="0" w:type="dxa"/>
        <w:tblLayout w:type="fixed"/>
        <w:tblCellMar>
          <w:top w:w="28" w:type="dxa"/>
          <w:left w:w="28" w:type="dxa"/>
          <w:bottom w:w="28" w:type="dxa"/>
          <w:right w:w="28" w:type="dxa"/>
        </w:tblCellMar>
      </w:tblPr>
      <w:tblGrid>
        <w:gridCol w:w="9638"/>
      </w:tblGrid>
      <w:tr>
        <w:trPr>
          <w:trHeight w:val="3064" w:hRule="atLeast"/>
        </w:trPr>
        <w:tc>
          <w:tcPr>
            <w:tcW w:w="9638" w:type="dxa"/>
            <w:tcBorders>
              <w:top w:val="single" w:sz="2" w:space="0" w:color="000000"/>
              <w:left w:val="single" w:sz="2" w:space="0" w:color="000000"/>
              <w:bottom w:val="single" w:sz="2" w:space="0" w:color="000000"/>
              <w:right w:val="single" w:sz="2" w:space="0" w:color="000000"/>
            </w:tcBorders>
          </w:tcPr>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tc>
      </w:tr>
    </w:tbl>
    <w:p>
      <w:pPr>
        <w:pStyle w:val="Normal"/>
        <w:spacing w:before="0" w:after="103"/>
        <w:jc w:val="both"/>
        <w:rPr>
          <w:rStyle w:val="Policepardfaut"/>
          <w:rFonts w:ascii="Arial" w:hAnsi="Arial" w:cs="Arial"/>
          <w:b/>
          <w:bCs/>
          <w:i w:val="false"/>
          <w:i w:val="false"/>
          <w:iCs w:val="false"/>
          <w:sz w:val="20"/>
          <w:szCs w:val="20"/>
        </w:rPr>
      </w:pPr>
      <w:r>
        <w:rPr>
          <w:rFonts w:cs="Arial" w:ascii="Arial" w:hAnsi="Arial"/>
          <w:b/>
          <w:bCs/>
          <w:i w:val="false"/>
          <w:iCs w:val="false"/>
          <w:sz w:val="20"/>
          <w:szCs w:val="20"/>
        </w:rPr>
      </w:r>
    </w:p>
    <w:p>
      <w:pPr>
        <w:pStyle w:val="Normal"/>
        <w:spacing w:before="0" w:after="103"/>
        <w:jc w:val="both"/>
        <w:rPr/>
      </w:pPr>
      <w:r>
        <w:rPr>
          <w:rStyle w:val="Policepardfaut"/>
          <w:rFonts w:cs="Arial" w:ascii="Times New Roman" w:hAnsi="Times New Roman"/>
          <w:b/>
          <w:bCs/>
          <w:i w:val="false"/>
          <w:iCs w:val="false"/>
          <w:sz w:val="20"/>
          <w:szCs w:val="20"/>
        </w:rPr>
        <w:t>SC2. Garanties apportées en termes de sécurité et conformité</w:t>
      </w:r>
      <w:r>
        <w:rPr>
          <w:rStyle w:val="Policepardfaut"/>
          <w:rFonts w:cs="Arial" w:ascii="Times New Roman" w:hAnsi="Times New Roman"/>
          <w:b/>
          <w:bCs/>
          <w:i w:val="false"/>
          <w:iCs w:val="false"/>
          <w:color w:val="000000"/>
          <w:sz w:val="20"/>
          <w:szCs w:val="20"/>
        </w:rPr>
        <w:t xml:space="preserve"> sur 10 points.</w:t>
      </w:r>
    </w:p>
    <w:p>
      <w:pPr>
        <w:pStyle w:val="Contenudetableau"/>
        <w:jc w:val="both"/>
        <w:rPr>
          <w:rStyle w:val="Policepardfaut"/>
          <w:rFonts w:ascii="Times New Roman" w:hAnsi="Times New Roman" w:cs="Arial"/>
          <w:b w:val="false"/>
          <w:bCs w:val="false"/>
          <w:i w:val="false"/>
          <w:i w:val="false"/>
          <w:iCs w:val="false"/>
          <w:sz w:val="20"/>
          <w:szCs w:val="20"/>
        </w:rPr>
      </w:pPr>
      <w:r>
        <w:rPr>
          <w:rFonts w:cs="Arial" w:ascii="Times New Roman" w:hAnsi="Times New Roman"/>
          <w:b w:val="false"/>
          <w:bCs w:val="false"/>
          <w:i w:val="false"/>
          <w:iCs w:val="false"/>
          <w:sz w:val="20"/>
          <w:szCs w:val="20"/>
        </w:rPr>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Cs/>
          <w:sz w:val="20"/>
          <w:szCs w:val="20"/>
          <w:lang w:eastAsia="en-US"/>
        </w:rPr>
        <w:t xml:space="preserve">Le soumissionnaire </w:t>
      </w:r>
      <w:r>
        <w:rPr>
          <w:rFonts w:eastAsia="Calibri" w:cs="Arial" w:ascii="Times New Roman" w:hAnsi="Times New Roman"/>
          <w:bCs/>
          <w:sz w:val="20"/>
          <w:szCs w:val="20"/>
          <w:u w:val="none"/>
          <w:lang w:eastAsia="en-US"/>
        </w:rPr>
        <w:t>devra décrire</w:t>
      </w:r>
      <w:r>
        <w:rPr>
          <w:rFonts w:eastAsia="Calibri" w:cs="Arial" w:ascii="Times New Roman" w:hAnsi="Times New Roman"/>
          <w:bCs/>
          <w:sz w:val="20"/>
          <w:szCs w:val="20"/>
          <w:lang w:eastAsia="en-US"/>
        </w:rPr>
        <w:t xml:space="preserve"> les éléments suivants  : </w:t>
        <w:br/>
        <w:t>- La mise en place en termes de sécurité et de conformité des deux générateurs ;</w:t>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Cs/>
          <w:strike w:val="false"/>
          <w:dstrike w:val="false"/>
          <w:sz w:val="20"/>
          <w:szCs w:val="20"/>
          <w:lang w:eastAsia="en-US"/>
        </w:rPr>
        <w:t>- Le plan d’installation / schéma d’implantation ;</w:t>
      </w:r>
      <w:r>
        <w:rPr>
          <w:rFonts w:eastAsia="Calibri" w:cs="Arial" w:ascii="Times New Roman" w:hAnsi="Times New Roman"/>
          <w:bCs/>
          <w:strike/>
          <w:sz w:val="20"/>
          <w:szCs w:val="20"/>
          <w:lang w:eastAsia="en-US"/>
        </w:rPr>
        <w:br/>
      </w:r>
      <w:r>
        <w:rPr>
          <w:rFonts w:eastAsia="Calibri" w:cs="Arial" w:ascii="Times New Roman" w:hAnsi="Times New Roman"/>
          <w:bCs/>
          <w:sz w:val="20"/>
          <w:szCs w:val="20"/>
          <w:lang w:eastAsia="en-US"/>
        </w:rPr>
        <w:t>- Le schéma de raccordement au réseau existant ;</w:t>
        <w:br/>
        <w:t>- La liste des connectiques et accessoires fournis ;</w:t>
        <w:br/>
        <w:t>- La procédure d’installation et de mise en service ;</w:t>
        <w:br/>
        <w:t>- L’</w:t>
      </w:r>
      <w:r>
        <w:rPr>
          <w:rFonts w:eastAsia="Calibri" w:cs="Arial" w:ascii="Times New Roman" w:hAnsi="Times New Roman"/>
          <w:bCs/>
          <w:strike w:val="false"/>
          <w:dstrike w:val="false"/>
          <w:sz w:val="20"/>
          <w:szCs w:val="20"/>
          <w:lang w:eastAsia="en-US"/>
        </w:rPr>
        <w:t>analyse de risques installation H₂ ;</w:t>
      </w:r>
      <w:r>
        <w:rPr>
          <w:rFonts w:eastAsia="Calibri" w:cs="Arial" w:ascii="Times New Roman" w:hAnsi="Times New Roman"/>
          <w:bCs/>
          <w:sz w:val="20"/>
          <w:szCs w:val="20"/>
          <w:lang w:eastAsia="en-US"/>
        </w:rPr>
        <w:br/>
        <w:t>- Le certificat de conformité des vannes / clapets / tubulures ;</w:t>
        <w:br/>
      </w:r>
      <w:r>
        <w:rPr>
          <w:rStyle w:val="Policepardfaut"/>
          <w:rFonts w:eastAsia="Calibri" w:cs="Arial" w:ascii="Times New Roman" w:hAnsi="Times New Roman"/>
          <w:b w:val="false"/>
          <w:bCs w:val="false"/>
          <w:i w:val="false"/>
          <w:iCs w:val="false"/>
          <w:sz w:val="20"/>
          <w:szCs w:val="20"/>
          <w:lang w:eastAsia="en-US"/>
        </w:rPr>
        <w:t>- La notice constructeur sur conditions de pose (température, ventilation).</w:t>
      </w:r>
    </w:p>
    <w:p>
      <w:pPr>
        <w:pStyle w:val="PrformatHTML"/>
        <w:rPr>
          <w:rStyle w:val="Policepardfaut"/>
          <w:rFonts w:ascii="Times New Roman" w:hAnsi="Times New Roman" w:cs="Arial"/>
          <w:b/>
          <w:bCs/>
          <w:color w:val="000000"/>
          <w:sz w:val="12"/>
          <w:szCs w:val="12"/>
          <w:u w:val="none"/>
        </w:rPr>
      </w:pPr>
      <w:r>
        <w:rPr>
          <w:rFonts w:cs="Arial" w:ascii="Times New Roman" w:hAnsi="Times New Roman"/>
          <w:b/>
          <w:bCs/>
          <w:color w:val="000000"/>
          <w:sz w:val="12"/>
          <w:szCs w:val="12"/>
          <w:u w:val="none"/>
        </w:rPr>
      </w:r>
    </w:p>
    <w:tbl>
      <w:tblPr>
        <w:tblW w:w="5000" w:type="pct"/>
        <w:jc w:val="left"/>
        <w:tblInd w:w="0" w:type="dxa"/>
        <w:tblLayout w:type="fixed"/>
        <w:tblCellMar>
          <w:top w:w="28" w:type="dxa"/>
          <w:left w:w="28" w:type="dxa"/>
          <w:bottom w:w="28" w:type="dxa"/>
          <w:right w:w="28" w:type="dxa"/>
        </w:tblCellMar>
      </w:tblPr>
      <w:tblGrid>
        <w:gridCol w:w="9638"/>
      </w:tblGrid>
      <w:tr>
        <w:trPr>
          <w:trHeight w:val="3064" w:hRule="atLeast"/>
        </w:trPr>
        <w:tc>
          <w:tcPr>
            <w:tcW w:w="9638" w:type="dxa"/>
            <w:tcBorders>
              <w:top w:val="single" w:sz="2" w:space="0" w:color="000000"/>
              <w:left w:val="single" w:sz="2" w:space="0" w:color="000000"/>
              <w:bottom w:val="single" w:sz="2" w:space="0" w:color="000000"/>
              <w:right w:val="single" w:sz="2" w:space="0" w:color="000000"/>
            </w:tcBorders>
          </w:tcPr>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tc>
      </w:tr>
    </w:tbl>
    <w:p>
      <w:pPr>
        <w:pStyle w:val="Contenudetableauuser"/>
        <w:widowControl w:val="false"/>
        <w:bidi w:val="0"/>
        <w:jc w:val="left"/>
        <w:rPr>
          <w:rStyle w:val="Policepardfaut"/>
          <w:rFonts w:ascii="Times New Roman" w:hAnsi="Times New Roman" w:cs="Arial"/>
          <w:b/>
          <w:bCs/>
          <w:sz w:val="22"/>
          <w:szCs w:val="22"/>
          <w:u w:val="single"/>
        </w:rPr>
      </w:pPr>
      <w:r>
        <w:rPr>
          <w:rFonts w:cs="Arial" w:ascii="Times New Roman" w:hAnsi="Times New Roman"/>
          <w:b/>
          <w:bCs/>
          <w:sz w:val="22"/>
          <w:szCs w:val="22"/>
          <w:u w:val="single"/>
        </w:rPr>
      </w:r>
    </w:p>
    <w:p>
      <w:pPr>
        <w:pStyle w:val="Contenudetableauuser"/>
        <w:widowControl w:val="false"/>
        <w:bidi w:val="0"/>
        <w:jc w:val="left"/>
        <w:rPr>
          <w:rStyle w:val="Policepardfaut"/>
          <w:rFonts w:ascii="Times New Roman" w:hAnsi="Times New Roman" w:cs="Arial"/>
          <w:b/>
          <w:bCs/>
          <w:sz w:val="22"/>
          <w:szCs w:val="22"/>
          <w:u w:val="single"/>
        </w:rPr>
      </w:pPr>
      <w:r>
        <w:rPr>
          <w:rFonts w:cs="Arial" w:ascii="Times New Roman" w:hAnsi="Times New Roman"/>
          <w:b/>
          <w:bCs/>
          <w:sz w:val="22"/>
          <w:szCs w:val="22"/>
          <w:u w:val="single"/>
        </w:rPr>
      </w:r>
    </w:p>
    <w:p>
      <w:pPr>
        <w:pStyle w:val="Contenudetableauuser"/>
        <w:widowControl w:val="false"/>
        <w:bidi w:val="0"/>
        <w:jc w:val="left"/>
        <w:rPr>
          <w:rStyle w:val="Policepardfaut"/>
          <w:rFonts w:ascii="Times New Roman" w:hAnsi="Times New Roman" w:cs="Arial"/>
          <w:b/>
          <w:bCs/>
          <w:sz w:val="22"/>
          <w:szCs w:val="22"/>
          <w:u w:val="single"/>
        </w:rPr>
      </w:pPr>
      <w:r>
        <w:rPr>
          <w:rFonts w:cs="Arial" w:ascii="Times New Roman" w:hAnsi="Times New Roman"/>
          <w:b/>
          <w:bCs/>
          <w:sz w:val="22"/>
          <w:szCs w:val="22"/>
          <w:u w:val="single"/>
        </w:rPr>
      </w:r>
    </w:p>
    <w:p>
      <w:pPr>
        <w:pStyle w:val="Normal"/>
        <w:spacing w:before="0" w:after="103"/>
        <w:jc w:val="both"/>
        <w:rPr/>
      </w:pPr>
      <w:r>
        <w:rPr>
          <w:rStyle w:val="Policepardfaut"/>
          <w:rFonts w:cs="Arial" w:ascii="Arial" w:hAnsi="Arial"/>
          <w:b/>
          <w:bCs/>
          <w:i w:val="false"/>
          <w:iCs w:val="false"/>
          <w:sz w:val="20"/>
          <w:szCs w:val="20"/>
        </w:rPr>
        <w:t>S</w:t>
      </w:r>
      <w:r>
        <w:rPr>
          <w:rStyle w:val="Policepardfaut"/>
          <w:rFonts w:cs="Arial" w:ascii="Times New Roman" w:hAnsi="Times New Roman"/>
          <w:b/>
          <w:bCs/>
          <w:i w:val="false"/>
          <w:iCs w:val="false"/>
          <w:sz w:val="20"/>
          <w:szCs w:val="20"/>
        </w:rPr>
        <w:t xml:space="preserve">C3. </w:t>
      </w:r>
      <w:r>
        <w:rPr>
          <w:rStyle w:val="Policepardfaut"/>
          <w:rFonts w:eastAsia="Times New Roman" w:cs="Arial" w:ascii="Times New Roman" w:hAnsi="Times New Roman"/>
          <w:b/>
          <w:bCs/>
          <w:i w:val="false"/>
          <w:iCs w:val="false"/>
          <w:sz w:val="20"/>
          <w:szCs w:val="20"/>
        </w:rPr>
        <w:t>Garanties apportées en termes de qualité de l’installation et mise en service</w:t>
      </w:r>
      <w:r>
        <w:rPr>
          <w:rStyle w:val="Policepardfaut"/>
          <w:rFonts w:cs="Arial" w:ascii="Times New Roman" w:hAnsi="Times New Roman"/>
          <w:b/>
          <w:bCs/>
          <w:i w:val="false"/>
          <w:iCs w:val="false"/>
          <w:color w:val="000000"/>
          <w:sz w:val="20"/>
          <w:szCs w:val="20"/>
        </w:rPr>
        <w:t xml:space="preserve"> sur 10 points.</w:t>
      </w:r>
    </w:p>
    <w:p>
      <w:pPr>
        <w:pStyle w:val="Normal"/>
        <w:jc w:val="both"/>
        <w:rPr>
          <w:rFonts w:ascii="Times New Roman" w:hAnsi="Times New Roman" w:cs="Arial"/>
          <w:color w:val="000000"/>
          <w:sz w:val="20"/>
          <w:szCs w:val="20"/>
          <w:lang w:eastAsia="en-US"/>
        </w:rPr>
      </w:pPr>
      <w:r>
        <w:rPr>
          <w:rFonts w:cs="Arial" w:ascii="Times New Roman" w:hAnsi="Times New Roman"/>
          <w:color w:val="000000"/>
          <w:sz w:val="20"/>
          <w:szCs w:val="20"/>
          <w:lang w:eastAsia="en-US"/>
        </w:rPr>
      </w:r>
    </w:p>
    <w:p>
      <w:pPr>
        <w:pStyle w:val="Normal"/>
        <w:pBdr>
          <w:top w:val="single" w:sz="4" w:space="1" w:color="000000"/>
          <w:left w:val="single" w:sz="4" w:space="4" w:color="000000"/>
          <w:bottom w:val="single" w:sz="4" w:space="1" w:color="000000"/>
          <w:right w:val="single" w:sz="4" w:space="4" w:color="000000"/>
        </w:pBdr>
        <w:jc w:val="left"/>
        <w:rPr>
          <w:rFonts w:ascii="Times New Roman" w:hAnsi="Times New Roman"/>
          <w:sz w:val="20"/>
          <w:szCs w:val="20"/>
        </w:rPr>
      </w:pPr>
      <w:r>
        <w:rPr>
          <w:rFonts w:eastAsia="Calibri" w:cs="Arial" w:ascii="Times New Roman" w:hAnsi="Times New Roman"/>
          <w:bCs/>
          <w:sz w:val="20"/>
          <w:szCs w:val="20"/>
          <w:lang w:eastAsia="en-US"/>
        </w:rPr>
        <w:t xml:space="preserve">Le soumissionnaire </w:t>
      </w:r>
      <w:r>
        <w:rPr>
          <w:rFonts w:eastAsia="Calibri" w:cs="Arial" w:ascii="Times New Roman" w:hAnsi="Times New Roman"/>
          <w:bCs/>
          <w:sz w:val="20"/>
          <w:szCs w:val="20"/>
          <w:u w:val="none"/>
          <w:lang w:eastAsia="en-US"/>
        </w:rPr>
        <w:t xml:space="preserve">devra d’écrire </w:t>
      </w:r>
      <w:r>
        <w:rPr>
          <w:rFonts w:eastAsia="Calibri" w:cs="Arial" w:ascii="Times New Roman" w:hAnsi="Times New Roman"/>
          <w:bCs/>
          <w:sz w:val="20"/>
          <w:szCs w:val="20"/>
          <w:lang w:eastAsia="en-US"/>
        </w:rPr>
        <w:t xml:space="preserve">les éléments suivants : </w:t>
        <w:br/>
        <w:t>- Le plan d’installation détaillé (schéma d’implantation, plan de raccordement, les exigences en alimentation électrique ; les conditions en température et hygrométrie ;</w:t>
        <w:br/>
        <w:t>- Le planning d’installation mentionnant la durée ;</w:t>
        <w:br/>
        <w:t>- la traçabilité des lots ;</w:t>
      </w:r>
    </w:p>
    <w:p>
      <w:pPr>
        <w:pStyle w:val="Normal"/>
        <w:pBdr>
          <w:top w:val="single" w:sz="4" w:space="1" w:color="000000"/>
          <w:left w:val="single" w:sz="4" w:space="4" w:color="000000"/>
          <w:bottom w:val="single" w:sz="4" w:space="1" w:color="000000"/>
          <w:right w:val="single" w:sz="4" w:space="4" w:color="000000"/>
        </w:pBdr>
        <w:jc w:val="left"/>
        <w:rPr>
          <w:rFonts w:ascii="Times New Roman" w:hAnsi="Times New Roman"/>
          <w:sz w:val="20"/>
          <w:szCs w:val="20"/>
        </w:rPr>
      </w:pPr>
      <w:r>
        <w:rPr>
          <w:rFonts w:eastAsia="Calibri" w:cs="Arial" w:ascii="Times New Roman" w:hAnsi="Times New Roman"/>
          <w:bCs/>
          <w:sz w:val="20"/>
          <w:szCs w:val="20"/>
          <w:lang w:eastAsia="en-US"/>
        </w:rPr>
        <w:t>- l’historique qualité ;</w:t>
      </w:r>
    </w:p>
    <w:p>
      <w:pPr>
        <w:pStyle w:val="Normal"/>
        <w:pBdr>
          <w:top w:val="single" w:sz="4" w:space="1" w:color="000000"/>
          <w:left w:val="single" w:sz="4" w:space="4" w:color="000000"/>
          <w:bottom w:val="single" w:sz="4" w:space="1" w:color="000000"/>
          <w:right w:val="single" w:sz="4" w:space="4" w:color="000000"/>
        </w:pBdr>
        <w:jc w:val="left"/>
        <w:rPr>
          <w:rFonts w:ascii="Times New Roman" w:hAnsi="Times New Roman" w:cs="Arial"/>
          <w:bCs/>
          <w:sz w:val="20"/>
          <w:szCs w:val="20"/>
        </w:rPr>
      </w:pPr>
      <w:r>
        <w:rPr>
          <w:rFonts w:eastAsia="Calibri" w:cs="Arial" w:ascii="Times New Roman" w:hAnsi="Times New Roman"/>
          <w:bCs/>
          <w:sz w:val="20"/>
          <w:szCs w:val="20"/>
          <w:lang w:eastAsia="en-US"/>
        </w:rPr>
        <w:t xml:space="preserve">- L’organisation proposée par le soumissionnaire ; </w:t>
        <w:br/>
        <w:t>- Les qualifications, certifications et protocoles techniques (certification ISO éventuellement applicable, les certifications de sécurité, le protocole de raccordement) ;</w:t>
        <w:br/>
        <w:t>- La procédure d’essai de démarrage + contrôles fonctionnels (la procédure de mise en service, les tests obligatoires, les fiches de mesure ou d’enregistrement, la procédure de vérification du basculement sur bouteilles de secours) ;</w:t>
        <w:br/>
        <w:t>- La notice d’utilisation.</w:t>
      </w:r>
    </w:p>
    <w:p>
      <w:pPr>
        <w:pStyle w:val="PrformatHTML"/>
        <w:rPr>
          <w:rStyle w:val="Policepardfaut"/>
          <w:rFonts w:ascii="Times New Roman" w:hAnsi="Times New Roman" w:cs="Arial"/>
          <w:b/>
          <w:bCs/>
          <w:color w:val="000000"/>
          <w:sz w:val="12"/>
          <w:szCs w:val="12"/>
          <w:u w:val="none"/>
        </w:rPr>
      </w:pPr>
      <w:r>
        <w:rPr>
          <w:rFonts w:cs="Arial" w:ascii="Times New Roman" w:hAnsi="Times New Roman"/>
          <w:b/>
          <w:bCs/>
          <w:color w:val="000000"/>
          <w:sz w:val="12"/>
          <w:szCs w:val="12"/>
          <w:u w:val="none"/>
        </w:rPr>
      </w:r>
    </w:p>
    <w:tbl>
      <w:tblPr>
        <w:tblW w:w="5000" w:type="pct"/>
        <w:jc w:val="left"/>
        <w:tblInd w:w="0" w:type="dxa"/>
        <w:tblLayout w:type="fixed"/>
        <w:tblCellMar>
          <w:top w:w="28" w:type="dxa"/>
          <w:left w:w="28" w:type="dxa"/>
          <w:bottom w:w="28" w:type="dxa"/>
          <w:right w:w="28" w:type="dxa"/>
        </w:tblCellMar>
      </w:tblPr>
      <w:tblGrid>
        <w:gridCol w:w="9638"/>
      </w:tblGrid>
      <w:tr>
        <w:trPr>
          <w:trHeight w:val="3064" w:hRule="atLeast"/>
        </w:trPr>
        <w:tc>
          <w:tcPr>
            <w:tcW w:w="9638" w:type="dxa"/>
            <w:tcBorders>
              <w:top w:val="single" w:sz="2" w:space="0" w:color="000000"/>
              <w:left w:val="single" w:sz="2" w:space="0" w:color="000000"/>
              <w:bottom w:val="single" w:sz="2" w:space="0" w:color="000000"/>
              <w:right w:val="single" w:sz="2" w:space="0" w:color="000000"/>
            </w:tcBorders>
          </w:tcPr>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p>
            <w:pPr>
              <w:pStyle w:val="Contenudetableauuser"/>
              <w:widowControl w:val="false"/>
              <w:bidi w:val="0"/>
              <w:jc w:val="left"/>
              <w:rPr>
                <w:rFonts w:ascii="Times New Roman" w:hAnsi="Times New Roman"/>
                <w:sz w:val="22"/>
                <w:szCs w:val="22"/>
              </w:rPr>
            </w:pPr>
            <w:r>
              <w:rPr>
                <w:rFonts w:ascii="Times New Roman" w:hAnsi="Times New Roman"/>
                <w:sz w:val="22"/>
                <w:szCs w:val="22"/>
              </w:rPr>
            </w:r>
          </w:p>
        </w:tc>
      </w:tr>
    </w:tbl>
    <w:p>
      <w:pPr>
        <w:pStyle w:val="Contenudetableauuser"/>
        <w:widowControl w:val="false"/>
        <w:bidi w:val="0"/>
        <w:jc w:val="left"/>
        <w:rPr>
          <w:rStyle w:val="Policepardfaut"/>
          <w:rFonts w:ascii="Times New Roman" w:hAnsi="Times New Roman" w:cs="Arial"/>
          <w:b/>
          <w:bCs/>
          <w:sz w:val="22"/>
          <w:szCs w:val="22"/>
          <w:u w:val="single"/>
        </w:rPr>
      </w:pPr>
      <w:r>
        <w:rPr>
          <w:rFonts w:cs="Arial" w:ascii="Times New Roman" w:hAnsi="Times New Roman"/>
          <w:b/>
          <w:bCs/>
          <w:sz w:val="22"/>
          <w:szCs w:val="22"/>
          <w:u w:val="single"/>
        </w:rPr>
      </w:r>
    </w:p>
    <w:p>
      <w:pPr>
        <w:pStyle w:val="Contenudetableauuser"/>
        <w:widowControl w:val="false"/>
        <w:bidi w:val="0"/>
        <w:jc w:val="left"/>
        <w:rPr>
          <w:rFonts w:ascii="Times New Roman" w:hAnsi="Times New Roman"/>
          <w:b/>
          <w:bCs/>
          <w:sz w:val="22"/>
          <w:szCs w:val="22"/>
        </w:rPr>
      </w:pPr>
      <w:r>
        <w:rPr>
          <w:rFonts w:ascii="Times New Roman" w:hAnsi="Times New Roman"/>
          <w:b/>
          <w:bCs/>
          <w:sz w:val="22"/>
          <w:szCs w:val="22"/>
        </w:rPr>
      </w:r>
    </w:p>
    <w:p>
      <w:pPr>
        <w:pStyle w:val="Contenudetableauuser"/>
        <w:widowControl w:val="false"/>
        <w:bidi w:val="0"/>
        <w:jc w:val="left"/>
        <w:rPr>
          <w:rFonts w:ascii="Times New Roman" w:hAnsi="Times New Roman"/>
          <w:b/>
          <w:bCs/>
          <w:sz w:val="22"/>
          <w:szCs w:val="22"/>
        </w:rPr>
      </w:pPr>
      <w:r>
        <w:rPr>
          <w:rFonts w:ascii="Times New Roman" w:hAnsi="Times New Roman"/>
          <w:b/>
          <w:bCs/>
          <w:sz w:val="22"/>
          <w:szCs w:val="22"/>
        </w:rPr>
        <w:t>Critère 3 : Maintenance, disponibilité et continuité de service : 20 points</w:t>
      </w:r>
    </w:p>
    <w:p>
      <w:pPr>
        <w:pStyle w:val="Contenudetableauuser"/>
        <w:widowControl w:val="false"/>
        <w:bidi w:val="0"/>
        <w:jc w:val="left"/>
        <w:rPr>
          <w:rFonts w:ascii="Times New Roman" w:hAnsi="Times New Roman"/>
          <w:b/>
          <w:bCs/>
          <w:sz w:val="22"/>
          <w:szCs w:val="22"/>
        </w:rPr>
      </w:pPr>
      <w:r>
        <w:rPr>
          <w:rFonts w:ascii="Times New Roman" w:hAnsi="Times New Roman"/>
          <w:b/>
          <w:bCs/>
          <w:sz w:val="22"/>
          <w:szCs w:val="22"/>
        </w:rPr>
      </w:r>
    </w:p>
    <w:p>
      <w:pPr>
        <w:pStyle w:val="Contenudetableauuser"/>
        <w:widowControl w:val="false"/>
        <w:bidi w:val="0"/>
        <w:jc w:val="left"/>
        <w:rPr>
          <w:rFonts w:ascii="Times New Roman" w:hAnsi="Times New Roman"/>
          <w:b/>
          <w:bCs/>
          <w:sz w:val="22"/>
          <w:szCs w:val="22"/>
        </w:rPr>
      </w:pPr>
      <w:r>
        <w:rPr>
          <w:rFonts w:ascii="Times New Roman" w:hAnsi="Times New Roman"/>
          <w:b/>
          <w:bCs/>
          <w:sz w:val="22"/>
          <w:szCs w:val="22"/>
        </w:rPr>
      </w:r>
    </w:p>
    <w:p>
      <w:pPr>
        <w:pStyle w:val="Contenudetableau"/>
        <w:jc w:val="both"/>
        <w:rPr>
          <w:rFonts w:ascii="Times New Roman" w:hAnsi="Times New Roman"/>
          <w:sz w:val="20"/>
          <w:szCs w:val="20"/>
        </w:rPr>
      </w:pPr>
      <w:r>
        <w:rPr>
          <w:rFonts w:eastAsia="Times New Roman" w:cs="Arial" w:ascii="Times New Roman" w:hAnsi="Times New Roman"/>
          <w:b/>
          <w:bCs/>
          <w:sz w:val="20"/>
          <w:szCs w:val="20"/>
          <w:u w:val="none"/>
        </w:rPr>
        <w:t>Garanties apportées en matière de maintenance préventive et curative, de la disponibilité des équipements et de la continuité de service</w:t>
      </w:r>
      <w:r>
        <w:rPr>
          <w:rFonts w:cs="Arial" w:ascii="Times New Roman" w:hAnsi="Times New Roman"/>
          <w:b/>
          <w:bCs/>
          <w:sz w:val="20"/>
          <w:szCs w:val="20"/>
          <w:u w:val="none"/>
        </w:rPr>
        <w:t xml:space="preserve"> sur 20 points</w:t>
      </w:r>
      <w:r>
        <w:rPr>
          <w:rFonts w:cs="Arial" w:ascii="Times New Roman" w:hAnsi="Times New Roman"/>
          <w:b/>
          <w:bCs/>
          <w:sz w:val="20"/>
          <w:szCs w:val="20"/>
        </w:rPr>
        <w:t>.</w:t>
      </w:r>
    </w:p>
    <w:p>
      <w:pPr>
        <w:pStyle w:val="Contenudetableau"/>
        <w:jc w:val="both"/>
        <w:rPr>
          <w:rFonts w:ascii="Times New Roman" w:hAnsi="Times New Roman" w:eastAsia="Times New Roman" w:cs="Arial"/>
          <w:b w:val="false"/>
          <w:bCs w:val="false"/>
          <w:i w:val="false"/>
          <w:i w:val="false"/>
          <w:iCs w:val="false"/>
          <w:color w:val="auto"/>
          <w:sz w:val="20"/>
          <w:szCs w:val="20"/>
        </w:rPr>
      </w:pPr>
      <w:r>
        <w:rPr>
          <w:rFonts w:eastAsia="Times New Roman" w:cs="Arial" w:ascii="Times New Roman" w:hAnsi="Times New Roman"/>
          <w:b w:val="false"/>
          <w:bCs w:val="false"/>
          <w:i w:val="false"/>
          <w:iCs w:val="false"/>
          <w:color w:val="auto"/>
          <w:sz w:val="20"/>
          <w:szCs w:val="20"/>
        </w:rPr>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Cs/>
          <w:sz w:val="20"/>
          <w:szCs w:val="20"/>
          <w:lang w:eastAsia="en-US"/>
        </w:rPr>
        <w:t xml:space="preserve">Le soumissionnaire </w:t>
      </w:r>
      <w:r>
        <w:rPr>
          <w:rFonts w:eastAsia="Calibri" w:cs="Arial" w:ascii="Times New Roman" w:hAnsi="Times New Roman"/>
          <w:bCs/>
          <w:sz w:val="20"/>
          <w:szCs w:val="20"/>
          <w:u w:val="none"/>
          <w:lang w:eastAsia="en-US"/>
        </w:rPr>
        <w:t>devra décrire</w:t>
      </w:r>
      <w:r>
        <w:rPr>
          <w:rFonts w:eastAsia="Calibri" w:cs="Arial" w:ascii="Times New Roman" w:hAnsi="Times New Roman"/>
          <w:bCs/>
          <w:sz w:val="20"/>
          <w:szCs w:val="20"/>
          <w:lang w:eastAsia="en-US"/>
        </w:rPr>
        <w:t xml:space="preserve"> les éléments suivants :</w:t>
        <w:br/>
        <w:t>- Le programme de maintenance préventive (fréquence, contenu, compétences, fournir une fiche de suivi ou un modèle de rapport d’intervention, fournir la liste des points de contrôle réalisés lors des visites, les qualifications et habilitations des techniciens) ;</w:t>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 w:val="false"/>
          <w:bCs/>
          <w:i w:val="false"/>
          <w:iCs w:val="false"/>
          <w:color w:val="auto"/>
          <w:sz w:val="20"/>
          <w:szCs w:val="20"/>
          <w:lang w:eastAsia="en-US"/>
        </w:rPr>
        <w:t>- Les documents relatifs à la maintenance curative et continuité de service (numéro d’assistance technique et organisation du support) ;</w:t>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 w:val="false"/>
          <w:bCs/>
          <w:i w:val="false"/>
          <w:iCs w:val="false"/>
          <w:strike w:val="false"/>
          <w:dstrike w:val="false"/>
          <w:color w:val="auto"/>
          <w:sz w:val="20"/>
          <w:szCs w:val="20"/>
          <w:lang w:eastAsia="en-US"/>
        </w:rPr>
        <w:t>-  Fournir des documents relatifs à la gestion des alarmes et télédiagnostic ;</w:t>
        <w:br/>
        <w:t> - Fournir des documents relatifs aux pièces détachées</w:t>
      </w:r>
      <w:r>
        <w:rPr>
          <w:rFonts w:eastAsia="Calibri" w:cs="Arial" w:ascii="Times New Roman" w:hAnsi="Times New Roman"/>
          <w:b w:val="false"/>
          <w:bCs/>
          <w:i w:val="false"/>
          <w:iCs w:val="false"/>
          <w:color w:val="auto"/>
          <w:sz w:val="20"/>
          <w:szCs w:val="20"/>
          <w:lang w:eastAsia="en-US"/>
        </w:rPr>
        <w:t xml:space="preserve"> (liste des pièces critiques disponibles en stock, les délais de réapprovisionnement) ;</w:t>
      </w:r>
    </w:p>
    <w:p>
      <w:pPr>
        <w:pStyle w:val="Normal"/>
        <w:pBdr>
          <w:top w:val="single" w:sz="4" w:space="1" w:color="000000"/>
          <w:left w:val="single" w:sz="4" w:space="4" w:color="000000"/>
          <w:bottom w:val="single" w:sz="4" w:space="1" w:color="000000"/>
          <w:right w:val="single" w:sz="4" w:space="4" w:color="000000"/>
        </w:pBdr>
        <w:jc w:val="left"/>
        <w:rPr/>
      </w:pPr>
      <w:r>
        <w:rPr>
          <w:rFonts w:eastAsia="Calibri" w:cs="Arial" w:ascii="Times New Roman" w:hAnsi="Times New Roman"/>
          <w:b w:val="false"/>
          <w:bCs w:val="false"/>
          <w:sz w:val="20"/>
          <w:szCs w:val="20"/>
          <w:u w:val="none"/>
          <w:lang w:eastAsia="en-US"/>
        </w:rPr>
        <w:t>- L’organisation logistique de maintenance (présentation de l’équipe dédiée, l’emplacement des techniciens intervenants, description des outils de gestion des interventions, processus qualité ISO éventuellement applicable).</w:t>
      </w:r>
    </w:p>
    <w:p>
      <w:pPr>
        <w:pStyle w:val="Normal"/>
        <w:pBdr>
          <w:top w:val="single" w:sz="4" w:space="1" w:color="000000"/>
          <w:left w:val="single" w:sz="4" w:space="4" w:color="000000"/>
          <w:bottom w:val="single" w:sz="4" w:space="1" w:color="000000"/>
          <w:right w:val="single" w:sz="4" w:space="4" w:color="000000"/>
        </w:pBdr>
        <w:jc w:val="left"/>
        <w:rPr>
          <w:rFonts w:ascii="Times New Roman" w:hAnsi="Times New Roman"/>
          <w:sz w:val="20"/>
          <w:szCs w:val="20"/>
        </w:rPr>
      </w:pPr>
      <w:r>
        <w:rPr>
          <w:rFonts w:ascii="Times New Roman" w:hAnsi="Times New Roman"/>
          <w:sz w:val="20"/>
          <w:szCs w:val="20"/>
        </w:rPr>
      </w:r>
    </w:p>
    <w:p>
      <w:pPr>
        <w:pStyle w:val="Contenudetableau"/>
        <w:jc w:val="both"/>
        <w:rPr>
          <w:rFonts w:cs="Arial"/>
          <w:b/>
          <w:bCs/>
          <w:u w:val="none"/>
        </w:rPr>
      </w:pPr>
      <w:r>
        <w:rPr>
          <w:rFonts w:cs="Arial"/>
          <w:b/>
          <w:bCs/>
          <w:u w:val="none"/>
        </w:rPr>
      </w:r>
    </w:p>
    <w:p>
      <w:pPr>
        <w:pStyle w:val="PrformatHTML"/>
        <w:rPr>
          <w:rStyle w:val="Policepardfaut"/>
          <w:rFonts w:ascii="Times New Roman" w:hAnsi="Times New Roman" w:cs="Arial"/>
          <w:b/>
          <w:bCs/>
          <w:color w:val="000000"/>
          <w:sz w:val="12"/>
          <w:szCs w:val="12"/>
          <w:u w:val="none"/>
        </w:rPr>
      </w:pPr>
      <w:r>
        <w:rPr>
          <w:rFonts w:cs="Arial" w:ascii="Times New Roman" w:hAnsi="Times New Roman"/>
          <w:b/>
          <w:bCs/>
          <w:color w:val="000000"/>
          <w:sz w:val="12"/>
          <w:szCs w:val="12"/>
          <w:u w:val="none"/>
        </w:rPr>
      </w:r>
    </w:p>
    <w:tbl>
      <w:tblPr>
        <w:tblW w:w="9724" w:type="dxa"/>
        <w:jc w:val="left"/>
        <w:tblInd w:w="0" w:type="dxa"/>
        <w:tblLayout w:type="fixed"/>
        <w:tblCellMar>
          <w:top w:w="28" w:type="dxa"/>
          <w:left w:w="28" w:type="dxa"/>
          <w:bottom w:w="28" w:type="dxa"/>
          <w:right w:w="28" w:type="dxa"/>
        </w:tblCellMar>
      </w:tblPr>
      <w:tblGrid>
        <w:gridCol w:w="9724"/>
      </w:tblGrid>
      <w:tr>
        <w:trPr>
          <w:trHeight w:val="1753" w:hRule="atLeast"/>
        </w:trPr>
        <w:tc>
          <w:tcPr>
            <w:tcW w:w="9724" w:type="dxa"/>
            <w:tcBorders>
              <w:top w:val="single" w:sz="2" w:space="0" w:color="000000"/>
              <w:left w:val="single" w:sz="2" w:space="0" w:color="000000"/>
              <w:bottom w:val="single" w:sz="2" w:space="0" w:color="000000"/>
              <w:right w:val="single" w:sz="2" w:space="0" w:color="000000"/>
            </w:tcBorders>
          </w:tcPr>
          <w:p>
            <w:pPr>
              <w:pStyle w:val="Contenudetableauuser"/>
              <w:widowControl w:val="false"/>
              <w:bidi w:val="0"/>
              <w:jc w:val="left"/>
              <w:rPr>
                <w:rFonts w:ascii="Times New Roman" w:hAnsi="Times New Roman"/>
                <w:sz w:val="22"/>
                <w:szCs w:val="22"/>
              </w:rPr>
            </w:pPr>
            <w:r>
              <w:rPr>
                <w:rFonts w:ascii="Times New Roman" w:hAnsi="Times New Roman"/>
                <w:sz w:val="22"/>
                <w:szCs w:val="22"/>
              </w:rPr>
            </w:r>
          </w:p>
        </w:tc>
      </w:tr>
    </w:tbl>
    <w:p>
      <w:pPr>
        <w:pStyle w:val="Contenudetableauuser"/>
        <w:widowControl w:val="false"/>
        <w:bidi w:val="0"/>
        <w:jc w:val="left"/>
        <w:rPr>
          <w:rStyle w:val="Policepardfaut"/>
          <w:rFonts w:ascii="Times New Roman" w:hAnsi="Times New Roman" w:cs="Arial"/>
          <w:b/>
          <w:bCs/>
          <w:sz w:val="22"/>
          <w:szCs w:val="22"/>
          <w:u w:val="single"/>
        </w:rPr>
      </w:pPr>
      <w:r>
        <w:rPr>
          <w:rFonts w:cs="Arial" w:ascii="Times New Roman" w:hAnsi="Times New Roman"/>
          <w:b/>
          <w:bCs/>
          <w:sz w:val="22"/>
          <w:szCs w:val="22"/>
          <w:u w:val="single"/>
        </w:rPr>
      </w:r>
    </w:p>
    <w:sectPr>
      <w:footerReference w:type="even" r:id="rId5"/>
      <w:footerReference w:type="default" r:id="rId6"/>
      <w:footerReference w:type="first" r:id="rId7"/>
      <w:type w:val="nextPage"/>
      <w:pgSz w:w="11906" w:h="16838"/>
      <w:pgMar w:left="1134" w:right="1134" w:gutter="0" w:header="0" w:top="1134" w:footer="1134" w:bottom="119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StarSymbol">
    <w:altName w:val="Arial Unicode MS"/>
    <w:charset w:val="01"/>
    <w:family w:val="auto"/>
    <w:pitch w:val="variable"/>
  </w:font>
  <w:font w:name="Liberation Sans">
    <w:altName w:val="Arial"/>
    <w:charset w:val="01"/>
    <w:family w:val="swiss"/>
    <w:pitch w:val="variable"/>
  </w:font>
  <w:font w:name="Courier New">
    <w:charset w:val="01"/>
    <w:family w:val="auto"/>
    <w:pitch w:val="variable"/>
  </w:font>
  <w:font w:name="Times New Roman">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rFonts w:ascii="Arial" w:hAnsi="Arial"/>
      </w:rPr>
    </w:pPr>
    <w:r>
      <w:rPr>
        <w:rFonts w:ascii="Times New Roman" w:hAnsi="Times New Roman"/>
        <w:color w:val="000000"/>
        <w:sz w:val="22"/>
        <w:szCs w:val="22"/>
      </w:rPr>
      <w:t xml:space="preserve">Annexe 5 du </w:t>
    </w:r>
    <w:r>
      <w:rPr>
        <w:rFonts w:ascii="Times New Roman" w:hAnsi="Times New Roman"/>
        <w:sz w:val="22"/>
        <w:szCs w:val="22"/>
      </w:rPr>
      <w:t>RC</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rFonts w:ascii="Arial" w:hAnsi="Arial"/>
      </w:rPr>
    </w:pPr>
    <w:r>
      <w:rPr>
        <w:rFonts w:ascii="Times New Roman" w:hAnsi="Times New Roman"/>
        <w:color w:val="000000"/>
        <w:sz w:val="22"/>
        <w:szCs w:val="22"/>
      </w:rPr>
      <w:t xml:space="preserve">Annexe 5 du </w:t>
    </w:r>
    <w:r>
      <w:rPr>
        <w:rFonts w:ascii="Times New Roman" w:hAnsi="Times New Roman"/>
        <w:sz w:val="22"/>
        <w:szCs w:val="22"/>
      </w:rPr>
      <w:t>RC</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left"/>
      <w:rPr>
        <w:rFonts w:ascii="Arial" w:hAnsi="Arial"/>
      </w:rPr>
    </w:pPr>
    <w:r>
      <w:rPr>
        <w:rFonts w:ascii="Arial" w:hAnsi="Arial"/>
      </w:rPr>
    </w:r>
  </w:p>
  <w:p>
    <w:pPr>
      <w:pStyle w:val="Footer"/>
      <w:bidi w:val="0"/>
      <w:jc w:val="left"/>
      <w:rPr>
        <w:rFonts w:ascii="Arial" w:hAnsi="Arial"/>
      </w:rPr>
    </w:pPr>
    <w:r>
      <w:rPr>
        <w:rFonts w:ascii="Times New Roman" w:hAnsi="Times New Roman"/>
        <w:color w:val="000000"/>
        <w:sz w:val="22"/>
        <w:szCs w:val="22"/>
      </w:rPr>
      <w:t>Annexe 5 du</w:t>
    </w:r>
    <w:r>
      <w:rPr>
        <w:rFonts w:ascii="Times New Roman" w:hAnsi="Times New Roman"/>
        <w:sz w:val="22"/>
        <w:szCs w:val="22"/>
      </w:rPr>
      <w:t xml:space="preserve"> RC</w:t>
      <w:tab/>
      <w:t xml:space="preserve">Page </w:t>
    </w:r>
    <w:r>
      <w:rPr>
        <w:rFonts w:ascii="Times New Roman" w:hAnsi="Times New Roman"/>
        <w:sz w:val="22"/>
        <w:szCs w:val="22"/>
      </w:rPr>
      <w:fldChar w:fldCharType="begin"/>
    </w:r>
    <w:r>
      <w:rPr>
        <w:sz w:val="22"/>
        <w:szCs w:val="22"/>
        <w:rFonts w:ascii="Times New Roman" w:hAnsi="Times New Roman"/>
      </w:rPr>
      <w:instrText xml:space="preserve"> PAGE </w:instrText>
    </w:r>
    <w:r>
      <w:rPr>
        <w:sz w:val="22"/>
        <w:szCs w:val="22"/>
        <w:rFonts w:ascii="Times New Roman" w:hAnsi="Times New Roman"/>
      </w:rPr>
      <w:fldChar w:fldCharType="separate"/>
    </w:r>
    <w:r>
      <w:rPr>
        <w:sz w:val="22"/>
        <w:szCs w:val="22"/>
        <w:rFonts w:ascii="Times New Roman" w:hAnsi="Times New Roman"/>
      </w:rPr>
      <w:t>3</w:t>
    </w:r>
    <w:r>
      <w:rPr>
        <w:sz w:val="22"/>
        <w:szCs w:val="22"/>
        <w:rFonts w:ascii="Times New Roman" w:hAnsi="Times New Roman"/>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72"/>
  <w:defaultTabStop w:val="709"/>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oto Serif CJK SC" w:cs="Lohit Devanagari"/>
      <w:color w:val="auto"/>
      <w:kern w:val="2"/>
      <w:sz w:val="24"/>
      <w:szCs w:val="24"/>
      <w:lang w:val="fr-FR" w:eastAsia="zh-CN" w:bidi="hi-IN"/>
    </w:rPr>
  </w:style>
  <w:style w:type="paragraph" w:styleId="Heading4">
    <w:name w:val="heading 4"/>
    <w:basedOn w:val="Normal"/>
    <w:next w:val="Normal"/>
    <w:qFormat/>
    <w:pPr>
      <w:keepNext w:val="true"/>
      <w:spacing w:before="0" w:after="0"/>
      <w:ind w:firstLine="900" w:left="0" w:right="0"/>
      <w:jc w:val="both"/>
    </w:pPr>
    <w:rPr>
      <w:b/>
      <w:bCs/>
      <w:i/>
      <w:iCs/>
      <w:u w:val="single"/>
    </w:rPr>
  </w:style>
  <w:style w:type="character" w:styleId="Strong">
    <w:name w:val="Strong"/>
    <w:qFormat/>
    <w:rPr>
      <w:b/>
      <w:bCs/>
    </w:rPr>
  </w:style>
  <w:style w:type="character" w:styleId="Policepardfaut">
    <w:name w:val="Police par défaut"/>
    <w:qFormat/>
    <w:rPr/>
  </w:style>
  <w:style w:type="character" w:styleId="Puces">
    <w:name w:val="Puces"/>
    <w:qFormat/>
    <w:rPr>
      <w:rFonts w:ascii="StarSymbol" w:hAnsi="StarSymbol" w:eastAsia="StarSymbol" w:cs="StarSymbol"/>
      <w:sz w:val="18"/>
      <w:szCs w:val="18"/>
    </w:rPr>
  </w:style>
  <w:style w:type="paragraph" w:styleId="Titre">
    <w:name w:val="Titre"/>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Contenudetableauuser">
    <w:name w:val="Contenu de tableau (user)"/>
    <w:basedOn w:val="Normal"/>
    <w:qFormat/>
    <w:pPr>
      <w:widowControl w:val="false"/>
      <w:suppressLineNumbers/>
    </w:pPr>
    <w:rPr/>
  </w:style>
  <w:style w:type="paragraph" w:styleId="En-tteetpieddepageuser">
    <w:name w:val="En-tête et pied de page (user)"/>
    <w:basedOn w:val="Normal"/>
    <w:qFormat/>
    <w:pPr>
      <w:suppressLineNumbers/>
      <w:tabs>
        <w:tab w:val="clear" w:pos="709"/>
        <w:tab w:val="center" w:pos="4819" w:leader="none"/>
        <w:tab w:val="right" w:pos="9638" w:leader="none"/>
      </w:tabs>
    </w:pPr>
    <w:rPr/>
  </w:style>
  <w:style w:type="paragraph" w:styleId="En-tteetpieddepage">
    <w:name w:val="En-tête et pied de page"/>
    <w:basedOn w:val="Normal"/>
    <w:qFormat/>
    <w:pPr/>
    <w:rPr/>
  </w:style>
  <w:style w:type="paragraph" w:styleId="Footer">
    <w:name w:val="footer"/>
    <w:basedOn w:val="En-tteetpieddepageuser"/>
    <w:pPr>
      <w:suppressLineNumbers/>
    </w:pPr>
    <w:rPr/>
  </w:style>
  <w:style w:type="paragraph" w:styleId="Titredetableauuser">
    <w:name w:val="Titre de tableau (user)"/>
    <w:basedOn w:val="Contenudetableauuser"/>
    <w:qFormat/>
    <w:pPr>
      <w:suppressLineNumbers/>
      <w:jc w:val="center"/>
    </w:pPr>
    <w:rPr>
      <w:b/>
      <w:bCs/>
    </w:rPr>
  </w:style>
  <w:style w:type="paragraph" w:styleId="Citations">
    <w:name w:val="Citations"/>
    <w:basedOn w:val="Normal"/>
    <w:qFormat/>
    <w:pPr>
      <w:suppressAutoHyphens w:val="true"/>
      <w:spacing w:before="0" w:after="283"/>
      <w:ind w:hanging="0" w:left="567" w:right="567"/>
    </w:pPr>
    <w:rPr/>
  </w:style>
  <w:style w:type="paragraph" w:styleId="TITRE1">
    <w:name w:val="TITRE1"/>
    <w:basedOn w:val="Heading4"/>
    <w:qFormat/>
    <w:pPr>
      <w:numPr>
        <w:ilvl w:val="1"/>
        <w:numId w:val="1"/>
      </w:numPr>
      <w:spacing w:before="227" w:after="227"/>
      <w:ind w:hanging="0" w:left="0" w:right="0"/>
      <w:outlineLvl w:val="1"/>
    </w:pPr>
    <w:rPr>
      <w:b/>
      <w:i w:val="false"/>
      <w:sz w:val="22"/>
    </w:rPr>
  </w:style>
  <w:style w:type="paragraph" w:styleId="Commentaire">
    <w:name w:val="Commentaire"/>
    <w:basedOn w:val="Normal"/>
    <w:qFormat/>
    <w:pPr>
      <w:spacing w:before="56" w:after="0"/>
      <w:ind w:left="56" w:right="56"/>
    </w:pPr>
    <w:rPr>
      <w:sz w:val="20"/>
      <w:szCs w:val="20"/>
    </w:rPr>
  </w:style>
  <w:style w:type="paragraph" w:styleId="PrformatHTML">
    <w:name w:val="Préformaté HTML"/>
    <w:basedOn w:val="Normal"/>
    <w:qFormat/>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pPr>
    <w:rPr>
      <w:rFonts w:ascii="Courier New" w:hAnsi="Courier New" w:eastAsia="Times New Roman" w:cs="Courier New"/>
      <w:sz w:val="20"/>
      <w:szCs w:val="20"/>
      <w:lang w:eastAsia="fr-FR"/>
    </w:rPr>
  </w:style>
  <w:style w:type="paragraph" w:styleId="Contenudetableau">
    <w:name w:val="Contenu de tableau"/>
    <w:basedOn w:val="Normal"/>
    <w:qFormat/>
    <w:pPr>
      <w:widowControl w:val="false"/>
      <w:suppressLineNumbers/>
      <w:suppressAutoHyphens w:val="true"/>
    </w:pPr>
    <w:rPr/>
  </w:style>
  <w:style w:type="paragraph" w:styleId="Commentaireuser">
    <w:name w:val="Commentaire (user)"/>
    <w:basedOn w:val="Normal"/>
    <w:qFormat/>
    <w:pPr>
      <w:spacing w:before="56" w:after="0"/>
      <w:ind w:left="56" w:right="56"/>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878</TotalTime>
  <Application>LibreOffice/24.8.5.2$Linux_X86_64 LibreOffice_project/480$Build-2</Application>
  <AppVersion>15.0000</AppVersion>
  <Pages>3</Pages>
  <Words>693</Words>
  <Characters>3858</Characters>
  <CharactersWithSpaces>4531</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2024-10-22T15:05:01Z</dcterms:created>
  <dc:creator/>
  <dc:description/>
  <dc:language>fr-FR</dc:language>
  <cp:lastModifiedBy/>
  <cp:lastPrinted>2026-03-05T13:14:43Z</cp:lastPrinted>
  <dcterms:modified xsi:type="dcterms:W3CDTF">2026-04-09T11:15:24Z</dcterms:modified>
  <cp:revision>133</cp:revision>
  <dc:subject/>
  <dc:title/>
</cp:coreProperties>
</file>

<file path=docProps/custom.xml><?xml version="1.0" encoding="utf-8"?>
<Properties xmlns="http://schemas.openxmlformats.org/officeDocument/2006/custom-properties" xmlns:vt="http://schemas.openxmlformats.org/officeDocument/2006/docPropsVTypes"/>
</file>